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198"/>
        <w:gridCol w:w="1629"/>
        <w:gridCol w:w="4013"/>
      </w:tblGrid>
      <w:tr>
        <w:trPr/>
        <w:tc>
          <w:tcPr>
            <w:tcW w:w="4198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 Удмуртской Республики</w:t>
            </w:r>
          </w:p>
        </w:tc>
        <w:tc>
          <w:tcPr>
            <w:tcW w:w="162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762000" cy="7334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Удмурт Элькунысь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промышленностья но</w:t>
            </w:r>
          </w:p>
          <w:p>
            <w:pPr>
              <w:pStyle w:val="Heading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вузкаронъя министерство</w:t>
            </w:r>
          </w:p>
        </w:tc>
      </w:tr>
    </w:tbl>
    <w:p>
      <w:pPr>
        <w:pStyle w:val="Normal"/>
        <w:tabs>
          <w:tab w:val="clear" w:pos="708"/>
          <w:tab w:val="left" w:pos="10440" w:leader="none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440" w:leader="none"/>
        </w:tabs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>
      <w:pPr>
        <w:pStyle w:val="Normal"/>
        <w:tabs>
          <w:tab w:val="clear" w:pos="708"/>
          <w:tab w:val="left" w:pos="10440" w:leader="none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686" w:leader="none"/>
        </w:tabs>
        <w:ind w:right="-1"/>
        <w:rPr>
          <w:sz w:val="28"/>
          <w:szCs w:val="28"/>
        </w:rPr>
      </w:pPr>
      <w:r>
        <w:rPr>
          <w:sz w:val="28"/>
          <w:szCs w:val="28"/>
        </w:rPr>
        <w:t>18.12.2024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№ </w:t>
      </w:r>
      <w:r>
        <w:rPr>
          <w:sz w:val="28"/>
          <w:szCs w:val="28"/>
        </w:rPr>
        <w:t>236</w:t>
      </w:r>
    </w:p>
    <w:p>
      <w:pPr>
        <w:pStyle w:val="Normal"/>
        <w:tabs>
          <w:tab w:val="clear" w:pos="708"/>
          <w:tab w:val="left" w:pos="567" w:leader="none"/>
        </w:tabs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Ижевск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карты комплаенс – рисков, плана мероприятий по снижению комплаенс-рисков, ключевых показателей эффективности антимонопольного комплаенса Министерства промышленности и торговли Удмуртской Республики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565" w:leader="none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  <w:r>
        <w:rPr>
          <w:rFonts w:cs="MS Sans Serif"/>
          <w:sz w:val="28"/>
          <w:szCs w:val="28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Главы Удмуртской Республики от 18.02.2019 № 32-РГ «О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комплаенса)», в целях соблюдения антимонопольного законодательства и профилактики нарушения его требований</w:t>
      </w:r>
    </w:p>
    <w:p>
      <w:pPr>
        <w:pStyle w:val="Normal"/>
        <w:widowControl w:val="false"/>
        <w:tabs>
          <w:tab w:val="clear" w:pos="708"/>
          <w:tab w:val="left" w:pos="8565" w:leader="none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  <w:r>
        <w:rPr>
          <w:rFonts w:cs="MS Sans Serif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  <w:r>
        <w:rPr>
          <w:rFonts w:cs="MS Sans Serif"/>
          <w:sz w:val="28"/>
          <w:szCs w:val="28"/>
          <w:lang w:eastAsia="ar-SA"/>
        </w:rPr>
        <w:t>п р и к а з ы в а ю:</w:t>
      </w:r>
    </w:p>
    <w:p>
      <w:pPr>
        <w:pStyle w:val="Normal"/>
        <w:widowControl w:val="false"/>
        <w:tabs>
          <w:tab w:val="clear" w:pos="708"/>
          <w:tab w:val="left" w:pos="8565" w:leader="none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  <w:r>
        <w:rPr>
          <w:rFonts w:cs="MS Sans Serif"/>
          <w:sz w:val="28"/>
          <w:szCs w:val="28"/>
          <w:lang w:eastAsia="ar-SA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MS Sans Serif"/>
          <w:sz w:val="28"/>
          <w:szCs w:val="28"/>
          <w:lang w:eastAsia="ar-SA"/>
        </w:rPr>
      </w:pPr>
      <w:r>
        <w:rPr>
          <w:rFonts w:eastAsia="Times New Roman" w:cs="MS Sans Serif" w:ascii="Times New Roman" w:hAnsi="Times New Roman"/>
          <w:sz w:val="28"/>
          <w:szCs w:val="28"/>
          <w:lang w:eastAsia="ar-SA"/>
        </w:rPr>
        <w:t>Утвердить карту комплаенс-рисков Министерства промышленности и торговли Удмуртской Республики.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MS Sans Serif"/>
          <w:sz w:val="28"/>
          <w:szCs w:val="28"/>
          <w:lang w:eastAsia="ar-SA"/>
        </w:rPr>
      </w:pPr>
      <w:r>
        <w:rPr>
          <w:rFonts w:eastAsia="Times New Roman" w:cs="MS Sans Serif" w:ascii="Times New Roman" w:hAnsi="Times New Roman"/>
          <w:sz w:val="28"/>
          <w:szCs w:val="28"/>
          <w:lang w:eastAsia="ar-SA"/>
        </w:rPr>
        <w:t>Утвердить план мероприятий по снижению комплаенс–рисков Министерства промышленности и торговли Удмуртской Республики.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MS Sans Serif"/>
          <w:sz w:val="28"/>
          <w:szCs w:val="28"/>
          <w:lang w:eastAsia="ar-SA"/>
        </w:rPr>
      </w:pPr>
      <w:r>
        <w:rPr>
          <w:rFonts w:eastAsia="Times New Roman" w:cs="MS Sans Serif" w:ascii="Times New Roman" w:hAnsi="Times New Roman"/>
          <w:sz w:val="28"/>
          <w:szCs w:val="28"/>
          <w:lang w:eastAsia="ar-SA"/>
        </w:rPr>
        <w:t>Утвердить ключевые показатели эффективности антимонопольного комплаенса Министерства промышленности и торговли Удмуртской Республики.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MS Sans Serif"/>
          <w:sz w:val="28"/>
          <w:szCs w:val="28"/>
          <w:lang w:eastAsia="ar-SA"/>
        </w:rPr>
      </w:pPr>
      <w:r>
        <w:rPr>
          <w:rFonts w:eastAsia="Times New Roman" w:cs="MS Sans Serif" w:ascii="Times New Roman" w:hAnsi="Times New Roman"/>
          <w:sz w:val="28"/>
          <w:szCs w:val="28"/>
          <w:lang w:eastAsia="ar-SA"/>
        </w:rPr>
        <w:t>Управлению финансовой, правовой и кадровой работы Министерства обеспечить размещение настоящего приказа на официальном сайте Министерства в информационно-телекоммуникационной сети «Интернет» в установленном порядке.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rFonts w:cs="MS Sans Serif"/>
          <w:sz w:val="28"/>
          <w:szCs w:val="28"/>
          <w:lang w:eastAsia="ar-SA"/>
        </w:rPr>
        <w:t>5. Контроль за исполнением настоящего приказа возложить на заместителя министра промышленности и торговли Удмуртской Республики, курирующего вопросы торгово-закупочной деятельности.</w:t>
      </w:r>
    </w:p>
    <w:p>
      <w:pPr>
        <w:pStyle w:val="Normal"/>
        <w:tabs>
          <w:tab w:val="clear" w:pos="708"/>
          <w:tab w:val="left" w:pos="567" w:leader="none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  <w:tab/>
        <w:tab/>
        <w:tab/>
        <w:tab/>
        <w:tab/>
        <w:tab/>
        <w:tab/>
        <w:tab/>
        <w:tab/>
        <w:t xml:space="preserve">       &lt;...&gt;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701" w:right="850" w:gutter="0" w:header="0" w:top="993" w:footer="0" w:bottom="1134"/>
          <w:formProt w:val="false"/>
          <w:textDirection w:val="lrTb"/>
          <w:docGrid w:type="default" w:linePitch="312" w:charSpace="4294961151"/>
        </w:sectPr>
      </w:pPr>
      <w:r>
        <w:br w:type="page"/>
      </w:r>
    </w:p>
    <w:p>
      <w:pPr>
        <w:pStyle w:val="Normal"/>
        <w:widowControl w:val="false"/>
        <w:spacing w:before="0" w:after="0"/>
        <w:ind w:firstLine="540" w:left="9639" w:right="-456"/>
        <w:jc w:val="center"/>
        <w:rPr>
          <w:sz w:val="21"/>
          <w:szCs w:val="21"/>
        </w:rPr>
      </w:pPr>
      <w:r>
        <w:rPr>
          <w:sz w:val="21"/>
          <w:szCs w:val="21"/>
        </w:rPr>
        <w:t>УТВЕРЖДЕНА</w:t>
      </w:r>
    </w:p>
    <w:p>
      <w:pPr>
        <w:pStyle w:val="Normal"/>
        <w:widowControl w:val="false"/>
        <w:ind w:firstLine="540" w:left="9639" w:right="-456"/>
        <w:jc w:val="center"/>
        <w:rPr>
          <w:sz w:val="21"/>
          <w:szCs w:val="21"/>
        </w:rPr>
      </w:pPr>
      <w:r>
        <w:rPr>
          <w:sz w:val="21"/>
          <w:szCs w:val="21"/>
        </w:rPr>
        <w:t>приказом Министерства промышленности</w:t>
      </w:r>
    </w:p>
    <w:p>
      <w:pPr>
        <w:pStyle w:val="Normal"/>
        <w:widowControl w:val="false"/>
        <w:ind w:firstLine="540" w:left="9639" w:right="-456"/>
        <w:jc w:val="center"/>
        <w:rPr>
          <w:sz w:val="21"/>
          <w:szCs w:val="21"/>
        </w:rPr>
      </w:pPr>
      <w:r>
        <w:rPr>
          <w:sz w:val="21"/>
          <w:szCs w:val="21"/>
        </w:rPr>
        <w:t>и торговли Удмуртской Республики</w:t>
      </w:r>
    </w:p>
    <w:p>
      <w:pPr>
        <w:pStyle w:val="Normal"/>
        <w:widowControl w:val="false"/>
        <w:ind w:firstLine="540" w:left="9639" w:right="-456"/>
        <w:jc w:val="center"/>
        <w:rPr>
          <w:sz w:val="21"/>
          <w:szCs w:val="21"/>
        </w:rPr>
      </w:pPr>
      <w:r>
        <w:rPr>
          <w:sz w:val="21"/>
          <w:szCs w:val="21"/>
        </w:rPr>
        <w:t>от 18.12.2024 № 236</w:t>
      </w:r>
    </w:p>
    <w:p>
      <w:pPr>
        <w:pStyle w:val="Normal"/>
        <w:widowControl w:val="false"/>
        <w:spacing w:before="260" w:after="0"/>
        <w:ind w:right="-456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Карта комплаенс–рисков Министерства промышленности и торговли Удмуртской Республики (далее – Министерство)</w:t>
      </w:r>
    </w:p>
    <w:tbl>
      <w:tblPr>
        <w:tblStyle w:val="a4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534"/>
        <w:gridCol w:w="2463"/>
        <w:gridCol w:w="3283"/>
        <w:gridCol w:w="3091"/>
        <w:gridCol w:w="3163"/>
        <w:gridCol w:w="1751"/>
      </w:tblGrid>
      <w:tr>
        <w:trPr>
          <w:trHeight w:val="20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eastAsia="ru-RU" w:bidi="ar-SA"/>
              </w:rPr>
              <w:t>№</w:t>
            </w:r>
          </w:p>
        </w:tc>
        <w:tc>
          <w:tcPr>
            <w:tcW w:w="24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eastAsia="ru-RU" w:bidi="ar-SA"/>
              </w:rPr>
              <w:t>Бизнес-цель</w:t>
            </w:r>
          </w:p>
        </w:tc>
        <w:tc>
          <w:tcPr>
            <w:tcW w:w="32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eastAsia="ru-RU" w:bidi="ar-SA"/>
              </w:rPr>
              <w:t>Описание комплаенс-риска</w:t>
            </w:r>
          </w:p>
        </w:tc>
        <w:tc>
          <w:tcPr>
            <w:tcW w:w="3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eastAsia="ru-RU" w:bidi="ar-SA"/>
              </w:rPr>
              <w:t>Причины и условия возникновения комплаенс- риска</w:t>
            </w:r>
          </w:p>
        </w:tc>
        <w:tc>
          <w:tcPr>
            <w:tcW w:w="31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eastAsia="ru-RU" w:bidi="ar-SA"/>
              </w:rPr>
              <w:t>Описание возможных последствий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eastAsia="ru-RU" w:bidi="ar-SA"/>
              </w:rPr>
              <w:t>Уровень риска</w:t>
            </w:r>
          </w:p>
        </w:tc>
      </w:tr>
      <w:tr>
        <w:trPr>
          <w:trHeight w:val="20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eastAsia="ru-RU" w:bidi="ar-SA"/>
              </w:rPr>
              <w:t>1.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 xml:space="preserve">Осуществление контрольной и контрольно-надзорной деятельности </w:t>
            </w:r>
            <w:r>
              <w:rPr>
                <w:rFonts w:eastAsia="Times New Roman" w:cs="Times New Roman"/>
                <w:i/>
                <w:kern w:val="0"/>
                <w:sz w:val="21"/>
                <w:szCs w:val="21"/>
                <w:lang w:val="ru-RU" w:eastAsia="ru-RU" w:bidi="ar-SA"/>
              </w:rPr>
              <w:t>(нарушение статьи 15 Федерального закона от 26.07.2006 № 135-ФЗ «О защите конкуренции (далее – Федеральный закон № 135-ФЗ)</w:t>
            </w:r>
          </w:p>
        </w:tc>
        <w:tc>
          <w:tcPr>
            <w:tcW w:w="32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Введение ограничений, необоснованное препятствование осуществлению деятельности;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Проведение проверок по вопросам, не относящимся к компетенции;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Нарушение сроков осуществления контрольных мероприятий</w:t>
            </w:r>
          </w:p>
        </w:tc>
        <w:tc>
          <w:tcPr>
            <w:tcW w:w="309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Недостаточный уровень внутреннего контроля.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Недостаточная координация со стороны руководства.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Недостаточная квалификация и опыт сотрудников.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Высокая загруженность сотрудников.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Наличие конфликта интересов</w:t>
            </w: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en-US" w:bidi="ar-SA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Поручения руководства.</w:t>
            </w:r>
          </w:p>
        </w:tc>
        <w:tc>
          <w:tcPr>
            <w:tcW w:w="316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Создание дискриминационных или преимущественных условий для отдельных категорий хозяйствующих субъектов;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Вероятность выдачи Министерству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Высокий</w:t>
            </w:r>
          </w:p>
        </w:tc>
      </w:tr>
      <w:tr>
        <w:trPr>
          <w:trHeight w:val="3333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eastAsia="ru-RU" w:bidi="ar-SA"/>
              </w:rPr>
              <w:t>2.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 xml:space="preserve">Предоставление государственной услуги </w:t>
            </w:r>
            <w:r>
              <w:rPr>
                <w:rFonts w:eastAsia="Times New Roman" w:cs="Times New Roman"/>
                <w:i/>
                <w:kern w:val="0"/>
                <w:sz w:val="21"/>
                <w:szCs w:val="21"/>
                <w:lang w:val="ru-RU" w:eastAsia="ru-RU" w:bidi="ar-SA"/>
              </w:rPr>
              <w:t>(нарушение статьи 15 Федерального закона № 135-ФЗ)</w:t>
            </w:r>
          </w:p>
        </w:tc>
        <w:tc>
          <w:tcPr>
            <w:tcW w:w="32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Нарушение порядка предоставления государственной услуги;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Взимание платы за предоставление государственной услуги, если такая плата не предусмотрена действующим законодательством;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Предъявление требований о предоставлении документов, информация или осуществление которых не предусмотрено действующим законодательством;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Нарушение сроков предоставления государственной услуги;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Необоснованный отказ в предоставлении государственной услуги</w:t>
            </w:r>
          </w:p>
        </w:tc>
        <w:tc>
          <w:tcPr>
            <w:tcW w:w="309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Недостаточный уровень внутреннего контроля.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Недостаточная координация со стороны руководства.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Недостаточная квалификация и опыт сотрудников.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Высокая загруженность сотрудников.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Наличие конфликта интересов.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Отсутствие регламента предоставления конкретной государственной услуги.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Несоблюдение требований законодательства Российской Федерации о предоставлении государственных услуг.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Поручения руководства.</w:t>
            </w:r>
          </w:p>
        </w:tc>
        <w:tc>
          <w:tcPr>
            <w:tcW w:w="316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Создание дискриминационных или преимущественных условий для отдельных категорий хозяйствующих субъектов;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Вероятность выдачи Министерству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Существенный</w:t>
            </w:r>
          </w:p>
        </w:tc>
      </w:tr>
      <w:tr>
        <w:trPr>
          <w:trHeight w:val="20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eastAsia="ru-RU" w:bidi="ar-SA"/>
              </w:rPr>
              <w:t>3.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 xml:space="preserve">Закупки товаров, работ, услуг для государственных нужд </w:t>
            </w:r>
            <w:r>
              <w:rPr>
                <w:rFonts w:eastAsia="Times New Roman" w:cs="Times New Roman"/>
                <w:i/>
                <w:kern w:val="0"/>
                <w:sz w:val="21"/>
                <w:szCs w:val="21"/>
                <w:lang w:val="ru-RU" w:eastAsia="ru-RU" w:bidi="ar-SA"/>
              </w:rPr>
              <w:t>(нарушение статьи 17 Федерального закона № 135-ФЗ)</w:t>
            </w:r>
          </w:p>
        </w:tc>
        <w:tc>
          <w:tcPr>
            <w:tcW w:w="32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Завышение требований при описании предмета закупки;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Ограничения количества участников закупки</w:t>
            </w: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en-US" w:bidi="ar-SA"/>
              </w:rPr>
              <w:t>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Создание отдельным участникам закупок преимущественных условий</w:t>
            </w:r>
          </w:p>
        </w:tc>
        <w:tc>
          <w:tcPr>
            <w:tcW w:w="309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1. Недостаточный уровень внутреннего контроля.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2. Недостаточная координация со стороны руководства.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3. Недостаточная квалификация и опыт сотрудников.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Высокая загруженность сотрудников.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Наличие конфликта интересов.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порядок проведения торгов.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Поручения руководства.</w:t>
            </w:r>
          </w:p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16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Неэффективное использование бюджетных средств</w:t>
            </w: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en-US" w:bidi="ar-SA"/>
              </w:rPr>
              <w:t>;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Вероятность выдачи Министерству предупреждения, возбуждение в отношении него дела о нарушении антимонопольного законодательства и привлечение его к административной ответственности (штраф, дисквалификация)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Высокий</w:t>
            </w:r>
          </w:p>
        </w:tc>
      </w:tr>
    </w:tbl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</w:t>
      </w:r>
    </w:p>
    <w:p>
      <w:pPr>
        <w:pStyle w:val="Normal"/>
        <w:widowControl w:val="false"/>
        <w:ind w:left="9639" w:right="-456"/>
        <w:jc w:val="right"/>
        <w:rPr>
          <w:sz w:val="21"/>
          <w:szCs w:val="21"/>
        </w:rPr>
      </w:pPr>
      <w:r>
        <w:rPr>
          <w:sz w:val="21"/>
          <w:szCs w:val="21"/>
        </w:rPr>
      </w:r>
      <w:r>
        <w:br w:type="page"/>
      </w:r>
    </w:p>
    <w:p>
      <w:pPr>
        <w:pStyle w:val="Normal"/>
        <w:widowControl w:val="false"/>
        <w:spacing w:before="0" w:after="0"/>
        <w:ind w:firstLine="540" w:left="9639" w:right="-456"/>
        <w:jc w:val="center"/>
        <w:rPr>
          <w:sz w:val="21"/>
          <w:szCs w:val="21"/>
        </w:rPr>
      </w:pPr>
      <w:r>
        <w:rPr>
          <w:sz w:val="21"/>
          <w:szCs w:val="21"/>
        </w:rPr>
        <w:t>УТВЕРЖДЕН</w:t>
      </w:r>
    </w:p>
    <w:p>
      <w:pPr>
        <w:pStyle w:val="Normal"/>
        <w:widowControl w:val="false"/>
        <w:ind w:firstLine="540" w:left="9639" w:right="-456"/>
        <w:jc w:val="center"/>
        <w:rPr>
          <w:sz w:val="21"/>
          <w:szCs w:val="21"/>
        </w:rPr>
      </w:pPr>
      <w:r>
        <w:rPr>
          <w:sz w:val="21"/>
          <w:szCs w:val="21"/>
        </w:rPr>
        <w:t>приказом Министерства промышленности</w:t>
      </w:r>
    </w:p>
    <w:p>
      <w:pPr>
        <w:pStyle w:val="Normal"/>
        <w:widowControl w:val="false"/>
        <w:ind w:firstLine="540" w:left="9639" w:right="-456"/>
        <w:jc w:val="center"/>
        <w:rPr>
          <w:sz w:val="21"/>
          <w:szCs w:val="21"/>
        </w:rPr>
      </w:pPr>
      <w:r>
        <w:rPr>
          <w:sz w:val="21"/>
          <w:szCs w:val="21"/>
        </w:rPr>
        <w:t>и торговли Удмуртской Республики</w:t>
      </w:r>
    </w:p>
    <w:p>
      <w:pPr>
        <w:pStyle w:val="Normal"/>
        <w:widowControl w:val="false"/>
        <w:ind w:firstLine="540" w:left="9639" w:right="-456"/>
        <w:jc w:val="center"/>
        <w:rPr>
          <w:sz w:val="21"/>
          <w:szCs w:val="21"/>
        </w:rPr>
      </w:pPr>
      <w:r>
        <w:rPr>
          <w:sz w:val="21"/>
          <w:szCs w:val="21"/>
        </w:rPr>
        <w:t>от 18.12.2024 № 236</w:t>
      </w:r>
    </w:p>
    <w:p>
      <w:pPr>
        <w:pStyle w:val="Normal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План мероприятий («дорожная карта») по снижению комплаенс-рисков </w:t>
      </w:r>
    </w:p>
    <w:p>
      <w:pPr>
        <w:pStyle w:val="Normal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Министерства промышленности и торговли Удмуртской Республики (далее – Министерство)</w:t>
        <w:br/>
      </w:r>
    </w:p>
    <w:tbl>
      <w:tblPr>
        <w:tblStyle w:val="a4"/>
        <w:tblW w:w="5000" w:type="pct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6a0" w:noHBand="1" w:noVBand="1" w:firstColumn="1" w:lastRow="0" w:lastColumn="0" w:firstRow="1"/>
      </w:tblPr>
      <w:tblGrid>
        <w:gridCol w:w="414"/>
        <w:gridCol w:w="2583"/>
        <w:gridCol w:w="2325"/>
        <w:gridCol w:w="3306"/>
        <w:gridCol w:w="1946"/>
        <w:gridCol w:w="1931"/>
        <w:gridCol w:w="1780"/>
      </w:tblGrid>
      <w:tr>
        <w:trPr>
          <w:trHeight w:val="20" w:hRule="atLeast"/>
        </w:trPr>
        <w:tc>
          <w:tcPr>
            <w:tcW w:w="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eastAsia="ru-RU" w:bidi="ar-SA"/>
              </w:rPr>
              <w:t>№</w:t>
            </w:r>
          </w:p>
        </w:tc>
        <w:tc>
          <w:tcPr>
            <w:tcW w:w="2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eastAsia="ru-RU" w:bidi="ar-SA"/>
              </w:rPr>
              <w:t>Бизнес-цель (решаемая задача)</w:t>
            </w:r>
          </w:p>
        </w:tc>
        <w:tc>
          <w:tcPr>
            <w:tcW w:w="232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eastAsia="ru-RU" w:bidi="ar-SA"/>
              </w:rPr>
              <w:t>Описание комплаенс-риска</w:t>
            </w:r>
          </w:p>
        </w:tc>
        <w:tc>
          <w:tcPr>
            <w:tcW w:w="330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eastAsia="ru-RU" w:bidi="ar-SA"/>
              </w:rPr>
              <w:t>Мероприятия по воздействию на комплаенс-риск</w:t>
            </w:r>
          </w:p>
        </w:tc>
        <w:tc>
          <w:tcPr>
            <w:tcW w:w="194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eastAsia="ru-RU" w:bidi="ar-SA"/>
              </w:rPr>
              <w:t>Срок исполнения мероприятия</w:t>
            </w:r>
          </w:p>
        </w:tc>
        <w:tc>
          <w:tcPr>
            <w:tcW w:w="19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eastAsia="ru-RU" w:bidi="ar-SA"/>
              </w:rPr>
              <w:t>Ответственное лицо (должностное лицо, должность с указанием структурного подразделения)</w:t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eastAsia="ru-RU" w:bidi="ar-SA"/>
              </w:rPr>
              <w:t>Описание результата</w:t>
            </w:r>
          </w:p>
        </w:tc>
      </w:tr>
      <w:tr>
        <w:trPr>
          <w:trHeight w:val="20" w:hRule="atLeast"/>
        </w:trPr>
        <w:tc>
          <w:tcPr>
            <w:tcW w:w="414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eastAsia="ru-RU" w:bidi="ar-SA"/>
              </w:rPr>
              <w:t>1.</w:t>
            </w:r>
          </w:p>
        </w:tc>
        <w:tc>
          <w:tcPr>
            <w:tcW w:w="2583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 xml:space="preserve">Осуществление контрольной и контрольно-надзорной деятельности </w:t>
            </w:r>
            <w:r>
              <w:rPr>
                <w:rFonts w:eastAsia="Times New Roman" w:cs="Times New Roman"/>
                <w:i/>
                <w:kern w:val="0"/>
                <w:sz w:val="21"/>
                <w:szCs w:val="21"/>
                <w:lang w:val="ru-RU" w:eastAsia="ru-RU" w:bidi="ar-SA"/>
              </w:rPr>
              <w:t>(нарушение статьи 15 Федерального закона № 135-ФЗ)</w:t>
            </w:r>
          </w:p>
        </w:tc>
        <w:tc>
          <w:tcPr>
            <w:tcW w:w="232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1. Введение ограничений, необоснованное препятствование осуществлению деятельности.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2. Проведение проверок по вопросам, не относящимся к компетенции.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3. Нарушение сроков осуществления контрольных мероприятий.</w:t>
            </w:r>
          </w:p>
        </w:tc>
        <w:tc>
          <w:tcPr>
            <w:tcW w:w="3306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>.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комплаенсу.</w:t>
            </w:r>
          </w:p>
        </w:tc>
        <w:tc>
          <w:tcPr>
            <w:tcW w:w="1946" w:type="dxa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Постоянно (в течение года)</w:t>
            </w:r>
          </w:p>
        </w:tc>
        <w:tc>
          <w:tcPr>
            <w:tcW w:w="193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Начальник Управления лицензирования и контроля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1"/>
                <w:szCs w:val="21"/>
                <w:lang w:val="ru-RU" w:bidi="ar-SA"/>
              </w:rPr>
              <w:t>Начальник Управления торгово-закупочной деятельности</w:t>
            </w:r>
          </w:p>
        </w:tc>
        <w:tc>
          <w:tcPr>
            <w:tcW w:w="178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Снижение уровня комплаенс-риска при осуществлении контрольной и контрольно-надзорной деятельности</w:t>
            </w:r>
          </w:p>
        </w:tc>
      </w:tr>
      <w:tr>
        <w:trPr>
          <w:trHeight w:val="20" w:hRule="atLeast"/>
        </w:trPr>
        <w:tc>
          <w:tcPr>
            <w:tcW w:w="41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258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06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ru-RU"/>
              </w:rPr>
              <w:t>Предоставление информации для формирования доклада об антимонопольном комплаенсе в соответствии с пунктом 30 Приказа Министерства от 29.08.2019 № 71 «Об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Республики» (вместе с «Положением 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Республики» (далее – Положение).</w:t>
            </w:r>
          </w:p>
        </w:tc>
        <w:tc>
          <w:tcPr>
            <w:tcW w:w="1946" w:type="dxa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 позднее 31 января года, следующего за отчетным</w:t>
            </w:r>
          </w:p>
        </w:tc>
        <w:tc>
          <w:tcPr>
            <w:tcW w:w="1931" w:type="dxa"/>
            <w:vMerge w:val="continue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8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bookmarkStart w:id="0" w:name="_Hlk28533541"/>
            <w:bookmarkStart w:id="1" w:name="_Hlk28533541"/>
            <w:bookmarkEnd w:id="1"/>
          </w:p>
        </w:tc>
      </w:tr>
      <w:tr>
        <w:trPr>
          <w:trHeight w:val="20" w:hRule="atLeast"/>
        </w:trPr>
        <w:tc>
          <w:tcPr>
            <w:tcW w:w="414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eastAsia="ru-RU" w:bidi="ar-SA"/>
              </w:rPr>
              <w:t>2.</w:t>
            </w:r>
          </w:p>
        </w:tc>
        <w:tc>
          <w:tcPr>
            <w:tcW w:w="2583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 xml:space="preserve">Предоставление государственной услуги </w:t>
            </w:r>
            <w:r>
              <w:rPr>
                <w:rFonts w:eastAsia="Times New Roman" w:cs="Times New Roman"/>
                <w:i/>
                <w:kern w:val="0"/>
                <w:sz w:val="21"/>
                <w:szCs w:val="21"/>
                <w:lang w:val="ru-RU" w:eastAsia="ru-RU" w:bidi="ar-SA"/>
              </w:rPr>
              <w:t>(нарушение статьи 15 Федерального закона № 135-ФЗ)</w:t>
            </w:r>
          </w:p>
        </w:tc>
        <w:tc>
          <w:tcPr>
            <w:tcW w:w="232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ru-RU" w:eastAsia="ru-RU" w:bidi="ar-SA"/>
              </w:rPr>
              <w:t>1.  Нарушение порядка предоставления государственной услуги</w:t>
            </w: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>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2. Взимание платы за предоставление государственной услуги, если такая плата не предусмотрена действующим законодательством.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3. Предъявление требований о предоставлении документов, информация или осуществление которых не предусмотрено действующим законодательством</w:t>
            </w: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>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4. Нарушение сроков предоставления государственной услуги</w:t>
            </w: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>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5. Необоснованный отказ в предоставлении государственной услуги.</w:t>
            </w:r>
          </w:p>
        </w:tc>
        <w:tc>
          <w:tcPr>
            <w:tcW w:w="3306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>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комплаенсу.</w:t>
            </w:r>
          </w:p>
        </w:tc>
        <w:tc>
          <w:tcPr>
            <w:tcW w:w="1946" w:type="dxa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Постоянно (в течение года)</w:t>
            </w:r>
          </w:p>
        </w:tc>
        <w:tc>
          <w:tcPr>
            <w:tcW w:w="193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Начальник Управления лицензирования и контроля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8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Снижение уровня комплаенс-риска при предоставлении государственных услуг</w:t>
            </w:r>
          </w:p>
        </w:tc>
      </w:tr>
      <w:tr>
        <w:trPr>
          <w:trHeight w:val="20" w:hRule="atLeast"/>
        </w:trPr>
        <w:tc>
          <w:tcPr>
            <w:tcW w:w="41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258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5" w:type="dxa"/>
            <w:vMerge w:val="continue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3306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ru-RU"/>
              </w:rPr>
              <w:t>Предоставление информации для формирования доклада об антимонопольном комплаенсе в соответствии с пунктом 30 Положения.</w:t>
            </w:r>
          </w:p>
        </w:tc>
        <w:tc>
          <w:tcPr>
            <w:tcW w:w="1946" w:type="dxa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 позднее 31 января года, следующего за отчетным</w:t>
            </w:r>
          </w:p>
        </w:tc>
        <w:tc>
          <w:tcPr>
            <w:tcW w:w="193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8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0" w:hRule="atLeast"/>
        </w:trPr>
        <w:tc>
          <w:tcPr>
            <w:tcW w:w="414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eastAsia="ru-RU" w:bidi="ar-SA"/>
              </w:rPr>
              <w:t>3.</w:t>
            </w:r>
          </w:p>
        </w:tc>
        <w:tc>
          <w:tcPr>
            <w:tcW w:w="2583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 xml:space="preserve">Закупки товаров, работ, услуг для государственных нужд </w:t>
            </w:r>
            <w:r>
              <w:rPr>
                <w:rFonts w:eastAsia="Times New Roman" w:cs="Times New Roman"/>
                <w:i/>
                <w:kern w:val="0"/>
                <w:sz w:val="21"/>
                <w:szCs w:val="21"/>
                <w:lang w:val="ru-RU" w:eastAsia="ru-RU" w:bidi="ar-SA"/>
              </w:rPr>
              <w:t>(нарушение статьи 17 Федерального закона № 135-ФЗ)</w:t>
            </w:r>
          </w:p>
        </w:tc>
        <w:tc>
          <w:tcPr>
            <w:tcW w:w="232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1. Завышение требований при описании предмета закупки.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2. Ограничения количества участников закупки.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3. Создание отдельным участникам закупок преимущественных условий.</w:t>
            </w:r>
          </w:p>
        </w:tc>
        <w:tc>
          <w:tcPr>
            <w:tcW w:w="3306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комплаенсу.</w:t>
            </w:r>
          </w:p>
        </w:tc>
        <w:tc>
          <w:tcPr>
            <w:tcW w:w="1946" w:type="dxa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Постоянно (в течение года)</w:t>
            </w:r>
          </w:p>
        </w:tc>
        <w:tc>
          <w:tcPr>
            <w:tcW w:w="193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kern w:val="0"/>
                <w:sz w:val="21"/>
                <w:szCs w:val="21"/>
                <w:lang w:val="ru-RU" w:eastAsia="ru-RU" w:bidi="ar-SA"/>
              </w:rPr>
              <w:t>Начальник Управления финансовой, правовой и кадровой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8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Снижение уровня комплаенс-риска при закупках товаров, работ, услуг для государственных нужд</w:t>
            </w:r>
          </w:p>
        </w:tc>
      </w:tr>
      <w:tr>
        <w:trPr>
          <w:trHeight w:val="20" w:hRule="atLeast"/>
        </w:trPr>
        <w:tc>
          <w:tcPr>
            <w:tcW w:w="41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258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5" w:type="dxa"/>
            <w:vMerge w:val="continue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306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ru-RU"/>
              </w:rPr>
              <w:t>Предоставление информации для формирования доклада об антимонопольном комплаенсе в соответствии с пунктом 30 Положения.</w:t>
            </w:r>
          </w:p>
        </w:tc>
        <w:tc>
          <w:tcPr>
            <w:tcW w:w="1946" w:type="dxa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 позднее 31 января года, следующего за отчетным</w:t>
            </w:r>
          </w:p>
        </w:tc>
        <w:tc>
          <w:tcPr>
            <w:tcW w:w="193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78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0" w:hRule="atLeast"/>
        </w:trPr>
        <w:tc>
          <w:tcPr>
            <w:tcW w:w="41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258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06" w:type="dxa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ru-RU"/>
              </w:rPr>
              <w:t>4. Предоставление информации для формирования доклада об антимонопольном комплаенсе в соответствии с пунктом 30 Положения.</w:t>
            </w:r>
          </w:p>
        </w:tc>
        <w:tc>
          <w:tcPr>
            <w:tcW w:w="1946" w:type="dxa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 позднее 31 января года, следующего за отчетным</w:t>
            </w:r>
          </w:p>
        </w:tc>
        <w:tc>
          <w:tcPr>
            <w:tcW w:w="1931" w:type="dxa"/>
            <w:vMerge w:val="continue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8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0" w:hRule="atLeast"/>
        </w:trPr>
        <w:tc>
          <w:tcPr>
            <w:tcW w:w="414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eastAsia="ru-RU" w:bidi="ar-SA"/>
              </w:rPr>
              <w:t>4.</w:t>
            </w:r>
          </w:p>
        </w:tc>
        <w:tc>
          <w:tcPr>
            <w:tcW w:w="2583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 xml:space="preserve">Недопущение конфликта интересов в деятельности служащих Министерства </w:t>
            </w:r>
            <w:r>
              <w:rPr>
                <w:rFonts w:eastAsia="Times New Roman" w:cs="Times New Roman"/>
                <w:i/>
                <w:kern w:val="0"/>
                <w:sz w:val="21"/>
                <w:szCs w:val="21"/>
                <w:lang w:val="ru-RU" w:eastAsia="ru-RU" w:bidi="ar-SA"/>
              </w:rPr>
              <w:t>(нарушение статьи 15 Федерального закона № 135-ФЗ)</w:t>
            </w:r>
          </w:p>
        </w:tc>
        <w:tc>
          <w:tcPr>
            <w:tcW w:w="2325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Принятие мер при поступлении информации о конфликте интересов, служебные проверки не проводятся.</w:t>
            </w:r>
          </w:p>
          <w:p>
            <w:pPr>
              <w:pStyle w:val="ListParagraph"/>
              <w:widowControl w:val="false"/>
              <w:numPr>
                <w:ilvl w:val="0"/>
                <w:numId w:val="14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Служебные проверки проводятся при поступлении информации о конфликте интересов, но не разрабатываются предложения по устранению нарушений, информация не доводится до сотрудников Министерства.</w:t>
            </w:r>
          </w:p>
        </w:tc>
        <w:tc>
          <w:tcPr>
            <w:tcW w:w="3306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Style w:val="211pt"/>
                <w:rFonts w:eastAsia="Calibri" w:eastAsiaTheme="minorHAnsi"/>
                <w:sz w:val="21"/>
                <w:szCs w:val="21"/>
              </w:rPr>
            </w:pP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 xml:space="preserve">Проведение служебных проверок </w:t>
            </w: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при поступлении информации о конфликте интересов</w:t>
            </w: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Style w:val="211pt"/>
                <w:rFonts w:eastAsia="Arial Unicode MS"/>
                <w:sz w:val="21"/>
                <w:szCs w:val="21"/>
                <w:shd w:fill="FFFFFF" w:val="clear"/>
              </w:rPr>
            </w:pP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>Разработка предложений по исключению конфликта интересов в деятельности служащих Министерства.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211pt"/>
                <w:rFonts w:eastAsia="Arial Unicode MS"/>
                <w:kern w:val="0"/>
                <w:sz w:val="21"/>
                <w:szCs w:val="21"/>
                <w:shd w:fill="FFFFFF" w:val="clear"/>
              </w:rPr>
              <w:t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комплаенсу.</w:t>
            </w:r>
          </w:p>
        </w:tc>
        <w:tc>
          <w:tcPr>
            <w:tcW w:w="1946" w:type="dxa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Постоянно (в течение года)</w:t>
            </w:r>
          </w:p>
        </w:tc>
        <w:tc>
          <w:tcPr>
            <w:tcW w:w="193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Начальник Управления финансовой, правовой и кадровой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8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Снижение уровня комплаенс-риска во всех направлениях</w:t>
            </w:r>
          </w:p>
        </w:tc>
      </w:tr>
      <w:tr>
        <w:trPr>
          <w:trHeight w:val="20" w:hRule="atLeast"/>
        </w:trPr>
        <w:tc>
          <w:tcPr>
            <w:tcW w:w="41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258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211pt"/>
                <w:rFonts w:eastAsia="Arial Unicode MS"/>
                <w:sz w:val="21"/>
                <w:szCs w:val="21"/>
                <w:shd w:fill="FFFFFF" w:val="clear"/>
              </w:rPr>
            </w:pPr>
            <w:r>
              <w:rPr>
                <w:rFonts w:eastAsia="Arial Unicode MS"/>
                <w:sz w:val="21"/>
                <w:szCs w:val="21"/>
                <w:shd w:fill="FFFFFF" w:val="clear"/>
              </w:rPr>
            </w:r>
          </w:p>
        </w:tc>
        <w:tc>
          <w:tcPr>
            <w:tcW w:w="2325" w:type="dxa"/>
            <w:vMerge w:val="continue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306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ru-RU"/>
              </w:rPr>
              <w:t>Предоставление информации для формирования доклада об антимонопольном комплаенсе в соответствии с пунктом 30 Положения.</w:t>
            </w:r>
          </w:p>
        </w:tc>
        <w:tc>
          <w:tcPr>
            <w:tcW w:w="1946" w:type="dxa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before="0" w:after="200"/>
              <w:ind w:left="0"/>
              <w:contextualSpacing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Не позднее 31 января года, следующего за отчетным</w:t>
            </w:r>
          </w:p>
        </w:tc>
        <w:tc>
          <w:tcPr>
            <w:tcW w:w="193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78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jc w:val="center"/>
        <w:rPr>
          <w:sz w:val="21"/>
          <w:szCs w:val="21"/>
          <w:lang w:bidi="ru-RU"/>
        </w:rPr>
      </w:pPr>
      <w:r>
        <w:rPr>
          <w:sz w:val="21"/>
          <w:szCs w:val="21"/>
          <w:lang w:bidi="ru-RU"/>
        </w:rPr>
        <w:t>______________________</w:t>
      </w:r>
    </w:p>
    <w:p>
      <w:pPr>
        <w:pStyle w:val="Normal"/>
        <w:ind w:firstLine="540" w:left="9639" w:right="-45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firstLine="540" w:left="9639" w:right="-45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firstLine="540" w:left="9639" w:right="-45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hanging="0" w:left="9639" w:right="-45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ind w:firstLine="540" w:left="9639" w:right="-456"/>
        <w:rPr>
          <w:sz w:val="21"/>
          <w:szCs w:val="21"/>
        </w:rPr>
      </w:pPr>
      <w:r>
        <w:rPr>
          <w:sz w:val="21"/>
          <w:szCs w:val="21"/>
        </w:rPr>
      </w:r>
      <w:bookmarkStart w:id="2" w:name="bookmark1"/>
      <w:bookmarkStart w:id="3" w:name="bookmark1"/>
    </w:p>
    <w:p>
      <w:pPr>
        <w:pStyle w:val="Normal"/>
        <w:widowControl w:val="false"/>
        <w:ind w:firstLine="540" w:left="9639" w:right="-456"/>
        <w:jc w:val="center"/>
        <w:rPr/>
      </w:pPr>
      <w:r>
        <w:rPr>
          <w:sz w:val="21"/>
          <w:szCs w:val="21"/>
        </w:rPr>
        <w:t>УТВЕРЖДЕНЫ</w:t>
      </w:r>
    </w:p>
    <w:p>
      <w:pPr>
        <w:pStyle w:val="Normal"/>
        <w:widowControl w:val="false"/>
        <w:ind w:firstLine="540" w:left="9639" w:right="-456"/>
        <w:jc w:val="center"/>
        <w:rPr/>
      </w:pPr>
      <w:r>
        <w:rPr>
          <w:sz w:val="21"/>
          <w:szCs w:val="21"/>
        </w:rPr>
        <w:t xml:space="preserve">приказом Министерства промышленности </w:t>
      </w:r>
    </w:p>
    <w:p>
      <w:pPr>
        <w:pStyle w:val="Normal"/>
        <w:widowControl w:val="false"/>
        <w:ind w:firstLine="540" w:left="9639" w:right="-456"/>
        <w:jc w:val="center"/>
        <w:rPr/>
      </w:pPr>
      <w:r>
        <w:rPr>
          <w:sz w:val="21"/>
          <w:szCs w:val="21"/>
        </w:rPr>
        <w:t>и торговли Удмуртской Республики</w:t>
      </w:r>
    </w:p>
    <w:p>
      <w:pPr>
        <w:pStyle w:val="Normal"/>
        <w:widowControl w:val="false"/>
        <w:ind w:firstLine="540" w:left="9639" w:right="-456"/>
        <w:jc w:val="center"/>
        <w:rPr/>
      </w:pPr>
      <w:bookmarkStart w:id="4" w:name="_GoBack"/>
      <w:bookmarkEnd w:id="4"/>
      <w:r>
        <w:rPr>
          <w:sz w:val="21"/>
          <w:szCs w:val="21"/>
        </w:rPr>
        <w:t>от 18.12.2024 № 236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324"/>
        <w:ind w:hanging="0" w:left="0" w:right="40"/>
        <w:outlineLvl w:val="0"/>
        <w:rPr>
          <w:b/>
          <w:bCs/>
          <w:sz w:val="21"/>
          <w:szCs w:val="21"/>
          <w:lang w:bidi="ru-RU"/>
        </w:rPr>
      </w:pPr>
      <w:r>
        <w:rPr>
          <w:b/>
          <w:bCs/>
          <w:sz w:val="21"/>
          <w:szCs w:val="21"/>
          <w:lang w:bidi="ru-RU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324"/>
        <w:ind w:hanging="0" w:left="0" w:right="40"/>
        <w:jc w:val="center"/>
        <w:outlineLvl w:val="0"/>
        <w:rPr>
          <w:b/>
          <w:bCs/>
          <w:sz w:val="21"/>
          <w:szCs w:val="21"/>
          <w:lang w:bidi="ru-RU"/>
        </w:rPr>
      </w:pPr>
      <w:r>
        <w:rPr>
          <w:b/>
          <w:bCs/>
          <w:sz w:val="21"/>
          <w:szCs w:val="21"/>
          <w:lang w:bidi="ru-RU"/>
        </w:rPr>
        <w:t xml:space="preserve">Ключевые показатели эффективности антимонопольного комплаенса 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324"/>
        <w:ind w:hanging="0" w:left="0" w:right="40"/>
        <w:jc w:val="center"/>
        <w:outlineLvl w:val="0"/>
        <w:rPr>
          <w:b/>
          <w:bCs/>
          <w:sz w:val="21"/>
          <w:szCs w:val="21"/>
          <w:lang w:bidi="ru-RU"/>
        </w:rPr>
      </w:pPr>
      <w:r>
        <w:rPr>
          <w:b/>
          <w:bCs/>
          <w:sz w:val="21"/>
          <w:szCs w:val="21"/>
          <w:lang w:bidi="ru-RU"/>
        </w:rPr>
        <w:t xml:space="preserve">Министерства промышленности и торговли Удмуртской Республики </w:t>
      </w:r>
      <w:r>
        <w:rPr>
          <w:b/>
          <w:bCs/>
          <w:sz w:val="21"/>
          <w:szCs w:val="21"/>
          <w:shd w:fill="FFFFFF" w:val="clear"/>
          <w:lang w:bidi="ru-RU"/>
        </w:rPr>
        <w:t>(далее – Министерство)</w:t>
      </w:r>
      <w:r>
        <w:rPr>
          <w:b/>
          <w:bCs/>
          <w:sz w:val="21"/>
          <w:szCs w:val="21"/>
          <w:lang w:bidi="ru-RU"/>
        </w:rPr>
        <w:t xml:space="preserve"> на отчетный год</w:t>
      </w:r>
      <w:bookmarkEnd w:id="3"/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324"/>
        <w:ind w:hanging="0" w:left="0" w:right="40"/>
        <w:jc w:val="center"/>
        <w:outlineLvl w:val="0"/>
        <w:rPr>
          <w:b/>
          <w:bCs/>
          <w:sz w:val="21"/>
          <w:szCs w:val="21"/>
          <w:lang w:bidi="ru-RU"/>
        </w:rPr>
      </w:pPr>
      <w:r>
        <w:rPr>
          <w:b/>
          <w:bCs/>
          <w:sz w:val="21"/>
          <w:szCs w:val="21"/>
          <w:lang w:bidi="ru-RU"/>
        </w:rPr>
      </w:r>
    </w:p>
    <w:tbl>
      <w:tblPr>
        <w:tblW w:w="15062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 w:noHBand="0" w:noVBand="0" w:firstColumn="0" w:lastRow="0" w:lastColumn="0" w:firstRow="0"/>
      </w:tblPr>
      <w:tblGrid>
        <w:gridCol w:w="569"/>
        <w:gridCol w:w="5259"/>
        <w:gridCol w:w="7265"/>
        <w:gridCol w:w="1968"/>
      </w:tblGrid>
      <w:tr>
        <w:trPr>
          <w:trHeight w:val="2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20" w:before="0" w:after="120"/>
              <w:jc w:val="center"/>
              <w:rPr>
                <w:b/>
                <w:sz w:val="21"/>
                <w:szCs w:val="21"/>
                <w:lang w:bidi="ru-RU"/>
              </w:rPr>
            </w:pPr>
            <w:r>
              <w:rPr>
                <w:b/>
                <w:color w:val="000000"/>
                <w:sz w:val="21"/>
                <w:szCs w:val="21"/>
                <w:shd w:fill="FFFFFF" w:val="clear"/>
                <w:lang w:bidi="ru-RU"/>
              </w:rPr>
              <w:t>№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b/>
                <w:sz w:val="21"/>
                <w:szCs w:val="21"/>
                <w:lang w:bidi="ru-RU"/>
              </w:rPr>
            </w:pPr>
            <w:r>
              <w:rPr>
                <w:b/>
                <w:bCs/>
                <w:color w:val="000000"/>
                <w:sz w:val="21"/>
                <w:szCs w:val="21"/>
                <w:shd w:fill="FFFFFF" w:val="clear"/>
                <w:lang w:bidi="ru-RU"/>
              </w:rPr>
              <w:t>Наименование ключевого показателя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77"/>
              <w:jc w:val="center"/>
              <w:rPr>
                <w:b/>
                <w:sz w:val="21"/>
                <w:szCs w:val="21"/>
                <w:lang w:bidi="ru-RU"/>
              </w:rPr>
            </w:pPr>
            <w:r>
              <w:rPr>
                <w:b/>
                <w:bCs/>
                <w:color w:val="000000"/>
                <w:sz w:val="21"/>
                <w:szCs w:val="21"/>
                <w:shd w:fill="FFFFFF" w:val="clear"/>
                <w:lang w:bidi="ru-RU"/>
              </w:rPr>
              <w:t>Определение значения ключевого показателя (балл)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74"/>
              <w:jc w:val="center"/>
              <w:rPr>
                <w:b/>
                <w:sz w:val="21"/>
                <w:szCs w:val="21"/>
                <w:lang w:bidi="ru-RU"/>
              </w:rPr>
            </w:pPr>
            <w:r>
              <w:rPr>
                <w:b/>
                <w:bCs/>
                <w:color w:val="000000"/>
                <w:sz w:val="21"/>
                <w:szCs w:val="21"/>
                <w:shd w:fill="FFFFFF" w:val="clear"/>
                <w:lang w:bidi="ru-RU"/>
              </w:rPr>
              <w:t>Фактическое значение ключевого показателя (балл)</w:t>
            </w:r>
          </w:p>
        </w:tc>
      </w:tr>
      <w:tr>
        <w:trPr>
          <w:trHeight w:val="2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sz w:val="21"/>
                <w:szCs w:val="21"/>
                <w:lang w:bidi="ru-RU"/>
              </w:rPr>
            </w:pPr>
            <w:r>
              <w:rPr>
                <w:b/>
                <w:color w:val="000000"/>
                <w:sz w:val="21"/>
                <w:szCs w:val="21"/>
                <w:shd w:fill="FFFFFF" w:val="clear"/>
                <w:lang w:bidi="ru-RU"/>
              </w:rPr>
              <w:t>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Наличие утвержденного правового акта Министерства промышленности и торговли Удмуртской Республики об антимонопольном комплаенсе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162" w:leader="none"/>
              </w:tabs>
              <w:spacing w:before="0" w:after="0"/>
              <w:contextualSpacing/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правой акт не принят;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151" w:leader="none"/>
              </w:tabs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правой акт принят;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95" w:leader="none"/>
              </w:tabs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в отчетном периоде в правовой акт вносились изменения, направленные на совершенствование системы антимонопольного комплаенса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lang w:bidi="ru-RU"/>
              </w:rPr>
            </w:r>
          </w:p>
        </w:tc>
      </w:tr>
      <w:tr>
        <w:trPr>
          <w:trHeight w:val="2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sz w:val="21"/>
                <w:szCs w:val="21"/>
                <w:lang w:bidi="ru-RU"/>
              </w:rPr>
            </w:pPr>
            <w:r>
              <w:rPr>
                <w:b/>
                <w:color w:val="000000"/>
                <w:sz w:val="21"/>
                <w:szCs w:val="21"/>
                <w:shd w:fill="FFFFFF" w:val="clear"/>
                <w:lang w:bidi="ru-RU"/>
              </w:rPr>
              <w:t>2.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Определение уполномоченных подразделений (должностных лиц)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396" w:leader="none"/>
              </w:tabs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уполномоченные подразделения не определены;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774" w:leader="none"/>
              </w:tabs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уполномоченные подразделения определены;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774" w:leader="none"/>
              </w:tabs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уполномоченные подразделения определены и ведут активную работу по профилактике и предупреждению нарушений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lang w:bidi="ru-RU"/>
              </w:rPr>
            </w:r>
          </w:p>
        </w:tc>
      </w:tr>
      <w:tr>
        <w:trPr>
          <w:trHeight w:val="2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sz w:val="21"/>
                <w:szCs w:val="21"/>
                <w:lang w:bidi="ru-RU"/>
              </w:rPr>
            </w:pPr>
            <w:r>
              <w:rPr>
                <w:b/>
                <w:color w:val="000000"/>
                <w:sz w:val="21"/>
                <w:szCs w:val="21"/>
                <w:shd w:fill="FFFFFF" w:val="clear"/>
                <w:lang w:bidi="ru-RU"/>
              </w:rPr>
              <w:t>3.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Утверждение карты комплаенс-рисков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166" w:leader="none"/>
              </w:tabs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карта не утверждена;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144" w:leader="none"/>
              </w:tabs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карта утверждена;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166" w:leader="none"/>
              </w:tabs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карта рисков актуализируется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lang w:bidi="ru-RU"/>
              </w:rPr>
            </w:r>
          </w:p>
        </w:tc>
      </w:tr>
      <w:tr>
        <w:trPr>
          <w:trHeight w:val="2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sz w:val="21"/>
                <w:szCs w:val="21"/>
                <w:lang w:bidi="ru-RU"/>
              </w:rPr>
            </w:pPr>
            <w:r>
              <w:rPr>
                <w:b/>
                <w:color w:val="000000"/>
                <w:sz w:val="21"/>
                <w:szCs w:val="21"/>
                <w:shd w:fill="FFFFFF" w:val="clear"/>
                <w:lang w:bidi="ru-RU"/>
              </w:rPr>
              <w:t>4.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</w:p>
          <w:p>
            <w:pPr>
              <w:pStyle w:val="Normal"/>
              <w:widowControl w:val="false"/>
              <w:rPr>
                <w:sz w:val="21"/>
                <w:szCs w:val="21"/>
                <w:lang w:bidi="ru-RU"/>
              </w:rPr>
            </w:pPr>
            <w:r>
              <w:rPr>
                <w:sz w:val="21"/>
                <w:szCs w:val="21"/>
                <w:lang w:bidi="ru-RU"/>
              </w:rPr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4871" w:leader="underscore"/>
              </w:tabs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0 – работа по выявлению рисков не </w:t>
            </w:r>
            <w:r>
              <w:rPr>
                <w:bCs/>
                <w:color w:val="000000"/>
                <w:sz w:val="21"/>
                <w:szCs w:val="21"/>
                <w:shd w:fill="FFFFFF" w:val="clear"/>
                <w:lang w:bidi="ru-RU"/>
              </w:rPr>
              <w:t>проводится;</w:t>
            </w:r>
          </w:p>
          <w:p>
            <w:pPr>
              <w:pStyle w:val="Normal"/>
              <w:widowControl w:val="false"/>
              <w:rPr>
                <w:sz w:val="21"/>
                <w:szCs w:val="21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1 – риски выявлены только при внедрении комплаенса;</w:t>
            </w:r>
          </w:p>
          <w:p>
            <w:pPr>
              <w:pStyle w:val="Normal"/>
              <w:widowControl w:val="false"/>
              <w:rPr>
                <w:sz w:val="21"/>
                <w:szCs w:val="21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>2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 –</w:t>
            </w: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 xml:space="preserve"> риски выявляются на постоянной основе, анализируется вероятность их возникновения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lang w:bidi="ru-RU"/>
              </w:rPr>
            </w:r>
          </w:p>
        </w:tc>
      </w:tr>
      <w:tr>
        <w:trPr>
          <w:trHeight w:val="2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  <w:shd w:fill="FFFFFF" w:val="clear"/>
                <w:lang w:bidi="ru-RU"/>
              </w:rPr>
              <w:t>5.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  <w:shd w:fill="FFFFFF" w:val="clear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>Мониторинг и анализ практики применения антимонопольного законодательства в Министерстве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169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мониторинг и анализ не проводится;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0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мониторинг и анализ проводился только при внедрении комплаенса;</w:t>
            </w:r>
          </w:p>
          <w:p>
            <w:pPr>
              <w:pStyle w:val="Normal"/>
              <w:widowControl w:val="false"/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>2– мониторинг и анализ проводится на постоянной основе, анализируется вероятность их возникновения</w:t>
            </w:r>
          </w:p>
          <w:p>
            <w:pPr>
              <w:pStyle w:val="Normal"/>
              <w:widowControl w:val="false"/>
              <w:rPr>
                <w:color w:val="000000"/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lang w:bidi="ru-RU"/>
              </w:rPr>
            </w:r>
          </w:p>
        </w:tc>
      </w:tr>
      <w:tr>
        <w:trPr>
          <w:trHeight w:val="2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  <w:shd w:fill="FFFFFF" w:val="clear"/>
                <w:lang w:bidi="ru-RU"/>
              </w:rPr>
              <w:t>6.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  <w:shd w:fill="FFFFFF" w:val="clear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>Утверждение плана мероприятий («дорожной карты») по снижению комплаенс–рисков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>0 – план мероприятий не утвержден;</w:t>
            </w:r>
          </w:p>
          <w:p>
            <w:pPr>
              <w:pStyle w:val="Normal"/>
              <w:widowControl w:val="false"/>
              <w:rPr>
                <w:color w:val="000000"/>
                <w:sz w:val="21"/>
                <w:szCs w:val="21"/>
                <w:shd w:fill="FFFFFF" w:val="clear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>1– план мероприятий утвержден;</w:t>
            </w:r>
          </w:p>
          <w:p>
            <w:pPr>
              <w:pStyle w:val="Normal"/>
              <w:widowControl w:val="false"/>
              <w:rPr>
                <w:color w:val="000000"/>
                <w:sz w:val="21"/>
                <w:szCs w:val="21"/>
                <w:shd w:fill="FFFFFF" w:val="clear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>2 – план мероприятий актуализируется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lang w:bidi="ru-RU"/>
              </w:rPr>
            </w:r>
          </w:p>
        </w:tc>
      </w:tr>
      <w:tr>
        <w:trPr>
          <w:trHeight w:val="2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  <w:shd w:fill="FFFFFF" w:val="clear"/>
                <w:lang w:bidi="ru-RU"/>
              </w:rPr>
              <w:t>7</w:t>
            </w: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>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  <w:shd w:fill="FFFFFF" w:val="clear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169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внутренние документы не анализируются;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70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внутренние документы анализируются, информация доводится до министра;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77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внутренние документы анализируются, информация доводится как до министра, так и до сотрудников Министерства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lang w:bidi="ru-RU"/>
              </w:rPr>
            </w:r>
          </w:p>
        </w:tc>
      </w:tr>
      <w:tr>
        <w:trPr>
          <w:trHeight w:val="2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  <w:shd w:fill="FFFFFF" w:val="clear"/>
                <w:lang w:bidi="ru-RU"/>
              </w:rPr>
              <w:t>8.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  <w:shd w:fill="FFFFFF" w:val="clear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>Принятие мер при поступлении информации о конфликте интересов в деятельности служащих и структурных подразделений Министерства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85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при поступлении информации о конфликте интересов, служебные проверки не проводятся;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85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при поступлении информации о конфликте интересов, служебные проверки проводятся;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407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при поступлении информации о конфликте интересов, служебные проверки проводятся, разрабатываются предложения по устранению нарушений, информация доводится до сотрудников Министерства; либо информация о конфликте интересов не поступала, но проводится работа по профилактике антикоррупционных правонарушений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lang w:bidi="ru-RU"/>
              </w:rPr>
            </w:r>
          </w:p>
        </w:tc>
      </w:tr>
      <w:tr>
        <w:trPr>
          <w:trHeight w:val="2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  <w:shd w:fill="FFFFFF" w:val="clear"/>
                <w:lang w:bidi="ru-RU"/>
              </w:rPr>
              <w:t>9.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  <w:shd w:fill="FFFFFF" w:val="clear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>Доклад об антимонопольном комплаенсе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166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доклад не подготовлен;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140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доклад подписан министром;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02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доклад подписан министром и утвержден коллегиальным органом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lang w:bidi="ru-RU"/>
              </w:rPr>
            </w:r>
          </w:p>
        </w:tc>
      </w:tr>
      <w:tr>
        <w:trPr>
          <w:trHeight w:val="2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  <w:shd w:fill="FFFFFF" w:val="clear"/>
                <w:lang w:bidi="ru-RU"/>
              </w:rPr>
              <w:t>10.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  <w:shd w:fill="FFFFFF" w:val="clear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shd w:fill="FFFFFF" w:val="clear"/>
                <w:lang w:bidi="ru-RU"/>
              </w:rPr>
              <w:t>Снижение количества нарушений антимонопольного законодательства со стороны Министерства по сравнению с прошлым годом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1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количество нарушений по сравнению с прошлым годом увеличилось, осталось на прежнем уровне;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0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количество нарушений по сравнению с прошлым годом снизилось;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166" w:leader="none"/>
              </w:tabs>
              <w:rPr>
                <w:sz w:val="21"/>
                <w:szCs w:val="21"/>
                <w:shd w:fill="FFFFFF" w:val="clear"/>
                <w:lang w:bidi="ru-RU"/>
              </w:rPr>
            </w:pP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 xml:space="preserve">– </w:t>
            </w:r>
            <w:r>
              <w:rPr>
                <w:color w:val="000000"/>
                <w:sz w:val="21"/>
                <w:szCs w:val="21"/>
                <w:shd w:fill="FFFFFF" w:val="clear"/>
                <w:lang w:bidi="ru-RU"/>
              </w:rPr>
              <w:t>нарушений в отчетном году не было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Arial Unicode MS"/>
                <w:color w:val="000000"/>
                <w:sz w:val="21"/>
                <w:szCs w:val="21"/>
                <w:lang w:bidi="ru-RU"/>
              </w:rPr>
            </w:r>
          </w:p>
        </w:tc>
      </w:tr>
    </w:tbl>
    <w:p>
      <w:pPr>
        <w:pStyle w:val="Normal"/>
        <w:keepNext w:val="true"/>
        <w:keepLines/>
        <w:widowControl w:val="false"/>
        <w:numPr>
          <w:ilvl w:val="0"/>
          <w:numId w:val="0"/>
        </w:numPr>
        <w:ind w:hanging="0" w:left="0"/>
        <w:jc w:val="both"/>
        <w:outlineLvl w:val="0"/>
        <w:rPr>
          <w:b/>
          <w:bCs/>
          <w:sz w:val="21"/>
          <w:szCs w:val="21"/>
          <w:lang w:bidi="ru-RU"/>
        </w:rPr>
      </w:pPr>
      <w:r>
        <w:rPr>
          <w:b/>
          <w:bCs/>
          <w:sz w:val="21"/>
          <w:szCs w:val="21"/>
          <w:lang w:bidi="ru-RU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ind w:hanging="0" w:left="0"/>
        <w:jc w:val="both"/>
        <w:outlineLvl w:val="0"/>
        <w:rPr>
          <w:b/>
          <w:bCs/>
          <w:sz w:val="21"/>
          <w:szCs w:val="21"/>
          <w:lang w:bidi="ru-RU"/>
        </w:rPr>
      </w:pPr>
      <w:r>
        <w:rPr>
          <w:b/>
          <w:bCs/>
          <w:sz w:val="21"/>
          <w:szCs w:val="21"/>
          <w:lang w:bidi="ru-RU"/>
        </w:rPr>
        <w:t>Механизм оценки эффективности антимонопольного комплаенса Министерства:</w:t>
      </w:r>
    </w:p>
    <w:p>
      <w:pPr>
        <w:pStyle w:val="Normal"/>
        <w:widowControl w:val="false"/>
        <w:jc w:val="both"/>
        <w:rPr>
          <w:sz w:val="21"/>
          <w:szCs w:val="21"/>
          <w:lang w:bidi="ru-RU"/>
        </w:rPr>
      </w:pPr>
      <w:r>
        <w:rPr>
          <w:sz w:val="21"/>
          <w:szCs w:val="21"/>
          <w:lang w:bidi="ru-RU"/>
        </w:rPr>
        <w:t xml:space="preserve">высокий уровень эффективности антимонопольного комплаенса – от 14 до 20 баллов; </w:t>
      </w:r>
    </w:p>
    <w:p>
      <w:pPr>
        <w:pStyle w:val="Normal"/>
        <w:widowControl w:val="false"/>
        <w:jc w:val="both"/>
        <w:rPr>
          <w:sz w:val="21"/>
          <w:szCs w:val="21"/>
          <w:lang w:bidi="ru-RU"/>
        </w:rPr>
      </w:pPr>
      <w:r>
        <w:rPr>
          <w:sz w:val="21"/>
          <w:szCs w:val="21"/>
          <w:lang w:bidi="ru-RU"/>
        </w:rPr>
        <w:t xml:space="preserve">средний уровень эффективности антимонопольного комплаенса – от 9 до 14 баллов; </w:t>
      </w:r>
    </w:p>
    <w:p>
      <w:pPr>
        <w:pStyle w:val="Normal"/>
        <w:widowControl w:val="false"/>
        <w:jc w:val="both"/>
        <w:rPr>
          <w:sz w:val="21"/>
          <w:szCs w:val="21"/>
          <w:lang w:bidi="ru-RU"/>
        </w:rPr>
      </w:pPr>
      <w:r>
        <w:rPr>
          <w:sz w:val="21"/>
          <w:szCs w:val="21"/>
          <w:lang w:bidi="ru-RU"/>
        </w:rPr>
        <w:t>низкий уровень эффективности антимонопольного комплаенса – менее 9 баллов.</w:t>
      </w:r>
    </w:p>
    <w:p>
      <w:pPr>
        <w:pStyle w:val="Normal"/>
        <w:widowControl w:val="false"/>
        <w:jc w:val="center"/>
        <w:rPr>
          <w:sz w:val="21"/>
          <w:szCs w:val="21"/>
          <w:lang w:bidi="ru-RU"/>
        </w:rPr>
      </w:pPr>
      <w:r>
        <w:rPr>
          <w:sz w:val="21"/>
          <w:szCs w:val="21"/>
          <w:lang w:bidi="ru-RU"/>
        </w:rPr>
        <w:t>____________________</w:t>
      </w:r>
    </w:p>
    <w:p>
      <w:pPr>
        <w:pStyle w:val="Normal"/>
        <w:ind w:firstLine="540" w:left="9639" w:right="-456"/>
        <w:rPr>
          <w:bCs/>
          <w:sz w:val="21"/>
          <w:szCs w:val="21"/>
        </w:rPr>
      </w:pPr>
      <w:r>
        <w:rPr>
          <w:bCs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sectPr>
      <w:type w:val="nextPage"/>
      <w:pgSz w:orient="landscape" w:w="16838" w:h="11906"/>
      <w:pgMar w:left="1701" w:right="851" w:gutter="0" w:header="0" w:top="70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numFmt w:val="decimal"/>
      <w:suff w:val="space"/>
      <w:lvlText w:val="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numFmt w:val="decimal"/>
      <w:suff w:val="space"/>
      <w:lvlText w:val="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numFmt w:val="decimal"/>
      <w:suff w:val="space"/>
      <w:lvlText w:val="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numFmt w:val="decimal"/>
      <w:suff w:val="space"/>
      <w:lvlText w:val="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numFmt w:val="decimal"/>
      <w:suff w:val="space"/>
      <w:lvlText w:val="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numFmt w:val="decimal"/>
      <w:suff w:val="space"/>
      <w:lvlText w:val="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1">
    <w:lvl w:ilvl="0">
      <w:numFmt w:val="decimal"/>
      <w:suff w:val="space"/>
      <w:lvlText w:val="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2">
    <w:lvl w:ilvl="0">
      <w:numFmt w:val="decimal"/>
      <w:suff w:val="space"/>
      <w:lvlText w:val="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3c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205966"/>
    <w:pPr>
      <w:keepNext w:val="true"/>
      <w:outlineLvl w:val="0"/>
    </w:pPr>
    <w:rPr>
      <w:szCs w:val="20"/>
      <w:lang w:val="x-none" w:eastAsia="x-none"/>
    </w:rPr>
  </w:style>
  <w:style w:type="paragraph" w:styleId="Heading2">
    <w:name w:val="Heading 2"/>
    <w:basedOn w:val="Normal"/>
    <w:next w:val="Normal"/>
    <w:qFormat/>
    <w:rsid w:val="00833c55"/>
    <w:pPr>
      <w:keepNext w:val="true"/>
      <w:jc w:val="center"/>
      <w:outlineLvl w:val="1"/>
    </w:pPr>
    <w:rPr>
      <w:b/>
      <w:szCs w:val="20"/>
    </w:rPr>
  </w:style>
  <w:style w:type="paragraph" w:styleId="Heading5">
    <w:name w:val="Heading 5"/>
    <w:basedOn w:val="Normal"/>
    <w:next w:val="Normal"/>
    <w:link w:val="5"/>
    <w:qFormat/>
    <w:rsid w:val="00205966"/>
    <w:pPr>
      <w:keepNext w:val="true"/>
      <w:ind w:right="-108"/>
      <w:jc w:val="both"/>
      <w:outlineLvl w:val="4"/>
    </w:pPr>
    <w:rPr>
      <w:b/>
      <w:sz w:val="16"/>
      <w:szCs w:val="20"/>
      <w:lang w:val="en-US" w:eastAsia="x-none"/>
    </w:rPr>
  </w:style>
  <w:style w:type="paragraph" w:styleId="Heading6">
    <w:name w:val="Heading 6"/>
    <w:basedOn w:val="Normal"/>
    <w:next w:val="Normal"/>
    <w:qFormat/>
    <w:rsid w:val="00833c55"/>
    <w:pPr>
      <w:keepNext w:val="true"/>
      <w:jc w:val="center"/>
      <w:outlineLvl w:val="5"/>
    </w:pPr>
    <w:rPr>
      <w:b/>
      <w:color w:val="000000"/>
      <w:szCs w:val="20"/>
    </w:rPr>
  </w:style>
  <w:style w:type="paragraph" w:styleId="Heading9">
    <w:name w:val="Heading 9"/>
    <w:basedOn w:val="Normal"/>
    <w:next w:val="Normal"/>
    <w:link w:val="9"/>
    <w:qFormat/>
    <w:rsid w:val="00205966"/>
    <w:pPr>
      <w:keepNext w:val="true"/>
      <w:jc w:val="both"/>
      <w:outlineLvl w:val="8"/>
    </w:pPr>
    <w:rPr>
      <w:b/>
      <w:i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833c55"/>
    <w:rPr>
      <w:color w:val="0000FF"/>
      <w:u w:val="single"/>
    </w:rPr>
  </w:style>
  <w:style w:type="character" w:styleId="1" w:customStyle="1">
    <w:name w:val="Заголовок 1 Знак"/>
    <w:qFormat/>
    <w:rsid w:val="00205966"/>
    <w:rPr>
      <w:sz w:val="24"/>
    </w:rPr>
  </w:style>
  <w:style w:type="character" w:styleId="5" w:customStyle="1">
    <w:name w:val="Заголовок 5 Знак"/>
    <w:qFormat/>
    <w:rsid w:val="00205966"/>
    <w:rPr>
      <w:b/>
      <w:sz w:val="16"/>
      <w:lang w:val="en-US"/>
    </w:rPr>
  </w:style>
  <w:style w:type="character" w:styleId="9" w:customStyle="1">
    <w:name w:val="Заголовок 9 Знак"/>
    <w:qFormat/>
    <w:rsid w:val="00205966"/>
    <w:rPr>
      <w:b/>
      <w:i/>
    </w:rPr>
  </w:style>
  <w:style w:type="character" w:styleId="Style9" w:customStyle="1">
    <w:name w:val="Текст выноски Знак"/>
    <w:link w:val="BalloonText"/>
    <w:uiPriority w:val="99"/>
    <w:semiHidden/>
    <w:qFormat/>
    <w:rsid w:val="00205966"/>
    <w:rPr>
      <w:rFonts w:ascii="Tahoma" w:hAnsi="Tahoma" w:cs="Tahoma"/>
      <w:sz w:val="16"/>
      <w:szCs w:val="16"/>
    </w:rPr>
  </w:style>
  <w:style w:type="character" w:styleId="2" w:customStyle="1">
    <w:name w:val="Основной текст с отступом 2 Знак"/>
    <w:link w:val="BodyTextIndent2"/>
    <w:qFormat/>
    <w:rsid w:val="00dc4072"/>
    <w:rPr>
      <w:sz w:val="28"/>
    </w:rPr>
  </w:style>
  <w:style w:type="character" w:styleId="3" w:customStyle="1">
    <w:name w:val="Основной текст 3 Знак"/>
    <w:link w:val="BodyText3"/>
    <w:qFormat/>
    <w:rsid w:val="00dc4072"/>
    <w:rPr>
      <w:sz w:val="28"/>
    </w:rPr>
  </w:style>
  <w:style w:type="character" w:styleId="Style10" w:customStyle="1">
    <w:name w:val="Основной текст с отступом Знак"/>
    <w:qFormat/>
    <w:rsid w:val="00dc4072"/>
    <w:rPr>
      <w:sz w:val="24"/>
    </w:rPr>
  </w:style>
  <w:style w:type="character" w:styleId="Style11" w:customStyle="1">
    <w:name w:val="Основной текст Знак"/>
    <w:qFormat/>
    <w:rsid w:val="00dc4072"/>
    <w:rPr>
      <w:sz w:val="24"/>
    </w:rPr>
  </w:style>
  <w:style w:type="character" w:styleId="Depname" w:customStyle="1">
    <w:name w:val="dep_name"/>
    <w:qFormat/>
    <w:rsid w:val="00f14a16"/>
    <w:rPr/>
  </w:style>
  <w:style w:type="character" w:styleId="Style12" w:customStyle="1">
    <w:name w:val="Верхний колонтитул Знак"/>
    <w:qFormat/>
    <w:rsid w:val="000c7a7f"/>
    <w:rPr>
      <w:sz w:val="24"/>
      <w:szCs w:val="24"/>
    </w:rPr>
  </w:style>
  <w:style w:type="character" w:styleId="Style13" w:customStyle="1">
    <w:name w:val="Нижний колонтитул Знак"/>
    <w:uiPriority w:val="99"/>
    <w:qFormat/>
    <w:rsid w:val="000c7a7f"/>
    <w:rPr>
      <w:sz w:val="24"/>
      <w:szCs w:val="24"/>
    </w:rPr>
  </w:style>
  <w:style w:type="character" w:styleId="211pt" w:customStyle="1">
    <w:name w:val="Основной текст (2) + 11 pt"/>
    <w:basedOn w:val="DefaultParagraphFont"/>
    <w:qFormat/>
    <w:rsid w:val="00fd0af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1"/>
    <w:rsid w:val="00dc4072"/>
    <w:pPr>
      <w:jc w:val="both"/>
    </w:pPr>
    <w:rPr>
      <w:szCs w:val="20"/>
      <w:lang w:val="x-none" w:eastAsia="x-none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205966"/>
    <w:pPr/>
    <w:rPr>
      <w:rFonts w:ascii="Tahoma" w:hAnsi="Tahoma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qFormat/>
    <w:rsid w:val="00dc4072"/>
    <w:pPr>
      <w:ind w:firstLine="720"/>
      <w:jc w:val="both"/>
    </w:pPr>
    <w:rPr>
      <w:sz w:val="28"/>
      <w:szCs w:val="20"/>
      <w:lang w:val="x-none" w:eastAsia="x-none"/>
    </w:rPr>
  </w:style>
  <w:style w:type="paragraph" w:styleId="BodyText3">
    <w:name w:val="Body Text 3"/>
    <w:basedOn w:val="Normal"/>
    <w:link w:val="3"/>
    <w:qFormat/>
    <w:rsid w:val="00dc4072"/>
    <w:pPr>
      <w:jc w:val="center"/>
    </w:pPr>
    <w:rPr>
      <w:sz w:val="28"/>
      <w:szCs w:val="20"/>
      <w:lang w:val="x-none" w:eastAsia="x-none"/>
    </w:rPr>
  </w:style>
  <w:style w:type="paragraph" w:styleId="BodyTextIndent">
    <w:name w:val="Body Text Indent"/>
    <w:basedOn w:val="Normal"/>
    <w:link w:val="Style10"/>
    <w:rsid w:val="00dc4072"/>
    <w:pPr>
      <w:ind w:hanging="2880" w:left="2880"/>
    </w:pPr>
    <w:rPr>
      <w:szCs w:val="20"/>
      <w:lang w:val="x-none" w:eastAsia="x-none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nhideWhenUsed/>
    <w:rsid w:val="000c7a7f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Footer">
    <w:name w:val="Footer"/>
    <w:basedOn w:val="Normal"/>
    <w:link w:val="Style13"/>
    <w:uiPriority w:val="99"/>
    <w:unhideWhenUsed/>
    <w:rsid w:val="000c7a7f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17" w:customStyle="1">
    <w:name w:val="Знак Знак Знак Знак Знак"/>
    <w:basedOn w:val="Normal"/>
    <w:autoRedefine/>
    <w:qFormat/>
    <w:rsid w:val="000e1b32"/>
    <w:pPr>
      <w:spacing w:lineRule="exact" w:line="240" w:before="0" w:after="160"/>
      <w:jc w:val="center"/>
    </w:pPr>
    <w:rPr>
      <w:b/>
      <w:sz w:val="2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d0af1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172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6E2C-4E60-4DC2-A199-6382BBF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LibreOffice/7.6.4.1$Linux_X86_64 LibreOffice_project/60$Build-1</Application>
  <AppVersion>15.0000</AppVersion>
  <Pages>8</Pages>
  <Words>1690</Words>
  <Characters>13186</Characters>
  <CharactersWithSpaces>14657</CharactersWithSpaces>
  <Paragraphs>210</Paragraphs>
  <Company>Минторг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2023-03-22T11:09:00Z</dcterms:created>
  <dc:creator>kalabina</dc:creator>
  <dc:description/>
  <dc:language>ru-RU</dc:language>
  <cp:lastModifiedBy/>
  <cp:lastPrinted>2024-01-11T05:11:00Z</cp:lastPrinted>
  <dcterms:modified xsi:type="dcterms:W3CDTF">2024-12-19T13:34:30Z</dcterms:modified>
  <cp:revision>17</cp:revision>
  <dc:subject/>
  <dc:title>МИНИСТЕРСТВО ТОРГОВЛИ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